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39" w:rsidRPr="00567139" w:rsidRDefault="00567139" w:rsidP="00567139">
      <w:pPr>
        <w:rPr>
          <w:rFonts w:cs="Noto Sans"/>
          <w:b/>
          <w:sz w:val="26"/>
          <w:szCs w:val="26"/>
        </w:rPr>
      </w:pPr>
      <w:bookmarkStart w:id="0" w:name="_GoBack"/>
      <w:bookmarkEnd w:id="0"/>
      <w:r w:rsidRPr="00567139">
        <w:rPr>
          <w:rFonts w:cs="Noto Sans"/>
          <w:b/>
          <w:sz w:val="26"/>
          <w:szCs w:val="26"/>
        </w:rPr>
        <w:t>Checkliste Rollstuhlnutzung</w:t>
      </w:r>
    </w:p>
    <w:p w:rsidR="00567139" w:rsidRPr="00567139" w:rsidRDefault="00567139" w:rsidP="00567139">
      <w:pPr>
        <w:rPr>
          <w:rFonts w:cs="Noto Sans"/>
          <w:b/>
          <w:szCs w:val="20"/>
        </w:rPr>
      </w:pPr>
      <w:r w:rsidRPr="00567139">
        <w:rPr>
          <w:rFonts w:cs="Noto Sans"/>
          <w:b/>
          <w:szCs w:val="20"/>
        </w:rPr>
        <w:t>Wichtig:</w:t>
      </w:r>
    </w:p>
    <w:p w:rsidR="00567139" w:rsidRPr="004C4202" w:rsidRDefault="00567139" w:rsidP="00501ECA">
      <w:pPr>
        <w:pStyle w:val="Listenabsatz"/>
        <w:numPr>
          <w:ilvl w:val="0"/>
          <w:numId w:val="9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Bewegungsflächen (vor und nach:  Türen, Rampen, Aufzug): 150 x 150 cm, mit Aktivrollstuhl bis 120 x 120 cm meist ausreichend</w:t>
      </w:r>
    </w:p>
    <w:p w:rsidR="00567139" w:rsidRPr="004C4202" w:rsidRDefault="00567139" w:rsidP="00501ECA">
      <w:pPr>
        <w:pStyle w:val="Listenabsatz"/>
        <w:numPr>
          <w:ilvl w:val="0"/>
          <w:numId w:val="9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Bodenbeläge: eben, rutschfest (tiefe Teppiche/Schmutzmatten, sehr weiche Beläge schwierig, Gefahr von Verkanten/Sturz bei unebenen Flächen/großen Spalten)</w:t>
      </w:r>
    </w:p>
    <w:p w:rsidR="00567139" w:rsidRPr="004C4202" w:rsidRDefault="00567139" w:rsidP="00501ECA">
      <w:pPr>
        <w:pStyle w:val="Listenabsatz"/>
        <w:numPr>
          <w:ilvl w:val="0"/>
          <w:numId w:val="9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Bedienelemente (Klingeln, Tasten, Türklinken usw.), Höhe:  85-105 cm</w:t>
      </w:r>
    </w:p>
    <w:p w:rsidR="00567139" w:rsidRPr="00567139" w:rsidRDefault="00567139" w:rsidP="00567139">
      <w:pPr>
        <w:rPr>
          <w:rFonts w:cs="Noto Sans"/>
          <w:b/>
          <w:szCs w:val="20"/>
        </w:rPr>
      </w:pPr>
      <w:r w:rsidRPr="00567139">
        <w:rPr>
          <w:rFonts w:cs="Noto Sans"/>
          <w:b/>
          <w:szCs w:val="20"/>
        </w:rPr>
        <w:t>Eingang:</w:t>
      </w:r>
    </w:p>
    <w:p w:rsidR="00567139" w:rsidRPr="004C4202" w:rsidRDefault="00567139" w:rsidP="00501ECA">
      <w:pPr>
        <w:pStyle w:val="Listenabsatz"/>
        <w:numPr>
          <w:ilvl w:val="0"/>
          <w:numId w:val="10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Stufenlos</w:t>
      </w:r>
    </w:p>
    <w:p w:rsidR="00567139" w:rsidRPr="004C4202" w:rsidRDefault="00567139" w:rsidP="00501ECA">
      <w:pPr>
        <w:pStyle w:val="Listenabsatz"/>
        <w:numPr>
          <w:ilvl w:val="0"/>
          <w:numId w:val="10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Schwelle &lt; 3 cm (Kippgefahr, E-Rollstuhl sind „tiefergelegt) bleibt evtl. hängen</w:t>
      </w:r>
    </w:p>
    <w:p w:rsidR="00567139" w:rsidRPr="004C4202" w:rsidRDefault="00567139" w:rsidP="00501ECA">
      <w:pPr>
        <w:pStyle w:val="Listenabsatz"/>
        <w:numPr>
          <w:ilvl w:val="0"/>
          <w:numId w:val="10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Türbreite:  mindestens 90 cm, im Wohnungsinneren 80 cm</w:t>
      </w:r>
    </w:p>
    <w:p w:rsidR="00567139" w:rsidRPr="004C4202" w:rsidRDefault="00567139" w:rsidP="00501ECA">
      <w:pPr>
        <w:pStyle w:val="Listenabsatz"/>
        <w:numPr>
          <w:ilvl w:val="0"/>
          <w:numId w:val="10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Tür nicht schwergängig</w:t>
      </w:r>
    </w:p>
    <w:p w:rsidR="00567139" w:rsidRPr="00567139" w:rsidRDefault="00567139" w:rsidP="00567139">
      <w:pPr>
        <w:rPr>
          <w:rFonts w:cs="Noto Sans"/>
          <w:b/>
          <w:szCs w:val="20"/>
        </w:rPr>
      </w:pPr>
      <w:r w:rsidRPr="00567139">
        <w:rPr>
          <w:rFonts w:cs="Noto Sans"/>
          <w:b/>
          <w:szCs w:val="20"/>
        </w:rPr>
        <w:t>Rampe:</w:t>
      </w:r>
    </w:p>
    <w:p w:rsidR="00567139" w:rsidRPr="004C4202" w:rsidRDefault="00501ECA" w:rsidP="00501ECA">
      <w:pPr>
        <w:pStyle w:val="Listenabsatz"/>
        <w:numPr>
          <w:ilvl w:val="0"/>
          <w:numId w:val="11"/>
        </w:numPr>
        <w:spacing w:after="200" w:line="276" w:lineRule="auto"/>
        <w:rPr>
          <w:rFonts w:cs="Noto Sans"/>
          <w:szCs w:val="20"/>
        </w:rPr>
      </w:pPr>
      <w:r>
        <w:rPr>
          <w:rFonts w:cs="Noto Sans"/>
          <w:szCs w:val="20"/>
        </w:rPr>
        <w:t xml:space="preserve">Steigung: maximal 6 % </w:t>
      </w:r>
      <w:r w:rsidR="00567139" w:rsidRPr="004C4202">
        <w:rPr>
          <w:rFonts w:cs="Noto Sans"/>
          <w:szCs w:val="20"/>
        </w:rPr>
        <w:t xml:space="preserve">(Anmerkung: mit Unterstützung steiler möglich, aber höhere Kippgefahr). Ab 1 m zu überwindender Höhenunterschied </w:t>
      </w:r>
      <w:proofErr w:type="spellStart"/>
      <w:r w:rsidR="00567139" w:rsidRPr="004C4202">
        <w:rPr>
          <w:rFonts w:cs="Noto Sans"/>
          <w:szCs w:val="20"/>
        </w:rPr>
        <w:t>Hublift</w:t>
      </w:r>
      <w:proofErr w:type="spellEnd"/>
      <w:r w:rsidR="00567139" w:rsidRPr="004C4202">
        <w:rPr>
          <w:rFonts w:cs="Noto Sans"/>
          <w:szCs w:val="20"/>
        </w:rPr>
        <w:t xml:space="preserve"> statt Rampe</w:t>
      </w:r>
    </w:p>
    <w:p w:rsidR="00567139" w:rsidRPr="004C4202" w:rsidRDefault="00567139" w:rsidP="00501ECA">
      <w:pPr>
        <w:pStyle w:val="Listenabsatz"/>
        <w:numPr>
          <w:ilvl w:val="0"/>
          <w:numId w:val="11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 xml:space="preserve">Länge:  wenn länger als 6 m: Zwischenpodest (eben, s. Bewegungsfläche) </w:t>
      </w:r>
    </w:p>
    <w:p w:rsidR="00567139" w:rsidRPr="004C4202" w:rsidRDefault="00567139" w:rsidP="00501ECA">
      <w:pPr>
        <w:pStyle w:val="Listenabsatz"/>
        <w:numPr>
          <w:ilvl w:val="0"/>
          <w:numId w:val="11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Breite:  gefordert sind 120 cm, in der Praxis Rollstuhlbreite entscheidend</w:t>
      </w:r>
    </w:p>
    <w:p w:rsidR="00567139" w:rsidRPr="004C4202" w:rsidRDefault="00567139" w:rsidP="00501ECA">
      <w:pPr>
        <w:pStyle w:val="Listenabsatz"/>
        <w:numPr>
          <w:ilvl w:val="0"/>
          <w:numId w:val="11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Radabweiser beidseits als Absturzsicherung empfohlen</w:t>
      </w:r>
    </w:p>
    <w:p w:rsidR="00567139" w:rsidRPr="004C4202" w:rsidRDefault="00567139" w:rsidP="00501ECA">
      <w:pPr>
        <w:pStyle w:val="Listenabsatz"/>
        <w:numPr>
          <w:ilvl w:val="0"/>
          <w:numId w:val="11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Durchgängige Fläche, Schienen vermeiden (Absturzgefahr!)</w:t>
      </w:r>
    </w:p>
    <w:p w:rsidR="00567139" w:rsidRPr="00567139" w:rsidRDefault="00567139" w:rsidP="00567139">
      <w:pPr>
        <w:rPr>
          <w:rFonts w:cs="Noto Sans"/>
          <w:b/>
          <w:szCs w:val="20"/>
        </w:rPr>
      </w:pPr>
      <w:r w:rsidRPr="00567139">
        <w:rPr>
          <w:rFonts w:cs="Noto Sans"/>
          <w:b/>
          <w:szCs w:val="20"/>
        </w:rPr>
        <w:t>Räume, Flure:</w:t>
      </w:r>
    </w:p>
    <w:p w:rsidR="00567139" w:rsidRPr="004C4202" w:rsidRDefault="00567139" w:rsidP="00501ECA">
      <w:pPr>
        <w:pStyle w:val="Listenabsatz"/>
        <w:numPr>
          <w:ilvl w:val="0"/>
          <w:numId w:val="12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Durchgänge mind. 90 cm breit</w:t>
      </w:r>
    </w:p>
    <w:p w:rsidR="00567139" w:rsidRPr="004C4202" w:rsidRDefault="00567139" w:rsidP="00501ECA">
      <w:pPr>
        <w:pStyle w:val="Listenabsatz"/>
        <w:numPr>
          <w:ilvl w:val="0"/>
          <w:numId w:val="12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 xml:space="preserve">Gehwege, Flure bis 15 m Länge, Mindestbreite: 150cm </w:t>
      </w:r>
    </w:p>
    <w:p w:rsidR="00567139" w:rsidRPr="00567139" w:rsidRDefault="00567139" w:rsidP="00567139">
      <w:pPr>
        <w:rPr>
          <w:rFonts w:cs="Noto Sans"/>
          <w:b/>
          <w:szCs w:val="20"/>
        </w:rPr>
      </w:pPr>
      <w:r w:rsidRPr="00567139">
        <w:rPr>
          <w:rFonts w:cs="Noto Sans"/>
          <w:b/>
          <w:szCs w:val="20"/>
        </w:rPr>
        <w:t>Behindertentoilette:</w:t>
      </w:r>
    </w:p>
    <w:p w:rsidR="00567139" w:rsidRPr="004C4202" w:rsidRDefault="00567139" w:rsidP="00501ECA">
      <w:pPr>
        <w:pStyle w:val="Listenabsatz"/>
        <w:numPr>
          <w:ilvl w:val="0"/>
          <w:numId w:val="13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Falls nicht vorhanden: Hinweis auf nächstgelegene öffentliche oder nutzbare Behindertentoilette</w:t>
      </w:r>
    </w:p>
    <w:p w:rsidR="00567139" w:rsidRPr="004C4202" w:rsidRDefault="00567139" w:rsidP="00501ECA">
      <w:pPr>
        <w:pStyle w:val="Listenabsatz"/>
        <w:numPr>
          <w:ilvl w:val="0"/>
          <w:numId w:val="13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Raum nicht als Lager/Abstellraum missbrauchen! Freiflächen sind zum Anfahren/Nutzen von Toilette und Waschbecken nötig</w:t>
      </w:r>
    </w:p>
    <w:p w:rsidR="00567139" w:rsidRPr="004C4202" w:rsidRDefault="00567139" w:rsidP="00501ECA">
      <w:pPr>
        <w:pStyle w:val="Listenabsatz"/>
        <w:numPr>
          <w:ilvl w:val="0"/>
          <w:numId w:val="13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Nach außen öffnende Tür (Wichtig, da im Falle eines Sturzes bei Umsetzen Tür sonst durch gestürzte Person blockiert sein könnte</w:t>
      </w:r>
    </w:p>
    <w:p w:rsidR="00567139" w:rsidRPr="004C4202" w:rsidRDefault="00567139" w:rsidP="00501ECA">
      <w:pPr>
        <w:pStyle w:val="Listenabsatz"/>
        <w:numPr>
          <w:ilvl w:val="0"/>
          <w:numId w:val="13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Umsetzfläche vor WC 150 x 150 cm (s. o „Bewegungsflächen“)</w:t>
      </w:r>
    </w:p>
    <w:p w:rsidR="00567139" w:rsidRPr="004C4202" w:rsidRDefault="00567139" w:rsidP="00501ECA">
      <w:pPr>
        <w:pStyle w:val="Listenabsatz"/>
        <w:numPr>
          <w:ilvl w:val="0"/>
          <w:numId w:val="13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 xml:space="preserve">Ausreichende Bewegungsflächen neben </w:t>
      </w:r>
      <w:r w:rsidR="00501ECA" w:rsidRPr="004C4202">
        <w:rPr>
          <w:rFonts w:cs="Noto Sans"/>
          <w:szCs w:val="20"/>
        </w:rPr>
        <w:t>WC-Becken</w:t>
      </w:r>
      <w:r w:rsidRPr="004C4202">
        <w:rPr>
          <w:rFonts w:cs="Noto Sans"/>
          <w:szCs w:val="20"/>
        </w:rPr>
        <w:t xml:space="preserve"> sind </w:t>
      </w:r>
    </w:p>
    <w:p w:rsidR="00567139" w:rsidRPr="004C4202" w:rsidRDefault="00567139" w:rsidP="00501ECA">
      <w:pPr>
        <w:pStyle w:val="Listenabsatz"/>
        <w:numPr>
          <w:ilvl w:val="1"/>
          <w:numId w:val="13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 xml:space="preserve"> mindestens 70 cm tief, von der Beckenvorderkante bis zur rückwärtigen Wand</w:t>
      </w:r>
    </w:p>
    <w:p w:rsidR="00567139" w:rsidRPr="004C4202" w:rsidRDefault="00567139" w:rsidP="00501ECA">
      <w:pPr>
        <w:pStyle w:val="Listenabsatz"/>
        <w:numPr>
          <w:ilvl w:val="1"/>
          <w:numId w:val="13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 xml:space="preserve"> mindestens 90 cm breit an der Zugangsseite und für Hilfspersonen mindestens 30 cm breit an der gegenüberliegenden Seite</w:t>
      </w:r>
    </w:p>
    <w:p w:rsidR="00567139" w:rsidRDefault="00567139" w:rsidP="00501ECA">
      <w:pPr>
        <w:pStyle w:val="Listenabsatz"/>
        <w:numPr>
          <w:ilvl w:val="0"/>
          <w:numId w:val="13"/>
        </w:numPr>
        <w:spacing w:after="200" w:line="276" w:lineRule="auto"/>
        <w:rPr>
          <w:rFonts w:cs="Noto Sans"/>
          <w:szCs w:val="20"/>
        </w:rPr>
      </w:pPr>
      <w:r w:rsidRPr="004C4202">
        <w:rPr>
          <w:rFonts w:cs="Noto Sans"/>
          <w:szCs w:val="20"/>
        </w:rPr>
        <w:t>Auf beiden Seiten der Toilette tragfähige Haltegriffe vorhanden</w:t>
      </w:r>
    </w:p>
    <w:p w:rsidR="00B323C2" w:rsidRPr="00567139" w:rsidRDefault="00567139" w:rsidP="00501ECA">
      <w:pPr>
        <w:pStyle w:val="Listenabsatz"/>
        <w:numPr>
          <w:ilvl w:val="0"/>
          <w:numId w:val="13"/>
        </w:numPr>
        <w:spacing w:after="200" w:line="276" w:lineRule="auto"/>
        <w:rPr>
          <w:rFonts w:cs="Noto Sans"/>
          <w:szCs w:val="20"/>
        </w:rPr>
      </w:pPr>
      <w:r w:rsidRPr="00567139">
        <w:rPr>
          <w:rFonts w:cs="Noto Sans"/>
          <w:szCs w:val="20"/>
        </w:rPr>
        <w:t>Notruf vorhan</w:t>
      </w:r>
      <w:r>
        <w:rPr>
          <w:rFonts w:cs="Noto Sans"/>
          <w:szCs w:val="20"/>
        </w:rPr>
        <w:t xml:space="preserve">den, z.B. Zugseil (sitzend und </w:t>
      </w:r>
      <w:r w:rsidRPr="00567139">
        <w:rPr>
          <w:rFonts w:cs="Noto Sans"/>
          <w:szCs w:val="20"/>
        </w:rPr>
        <w:t>auf dem Boden liegend erreichbar)</w:t>
      </w:r>
    </w:p>
    <w:sectPr w:rsidR="00B323C2" w:rsidRPr="00567139" w:rsidSect="00B323C2">
      <w:headerReference w:type="even" r:id="rId10"/>
      <w:footerReference w:type="default" r:id="rId11"/>
      <w:headerReference w:type="first" r:id="rId12"/>
      <w:pgSz w:w="11906" w:h="16838"/>
      <w:pgMar w:top="1985" w:right="1474" w:bottom="1418" w:left="147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39" w:rsidRDefault="00567139" w:rsidP="00B323C2">
      <w:pPr>
        <w:spacing w:after="0" w:line="240" w:lineRule="auto"/>
      </w:pPr>
      <w:r>
        <w:separator/>
      </w:r>
    </w:p>
  </w:endnote>
  <w:endnote w:type="continuationSeparator" w:id="0">
    <w:p w:rsidR="00567139" w:rsidRDefault="00567139" w:rsidP="00B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930166337"/>
      <w:docPartObj>
        <w:docPartGallery w:val="Page Numbers (Bottom of Page)"/>
        <w:docPartUnique/>
      </w:docPartObj>
    </w:sdtPr>
    <w:sdtEndPr/>
    <w:sdtContent>
      <w:p w:rsidR="001E1728" w:rsidRPr="00B323C2" w:rsidRDefault="00673C89" w:rsidP="001E1728">
        <w:pPr>
          <w:pStyle w:val="Fuzeile"/>
          <w:jc w:val="center"/>
          <w:rPr>
            <w:rFonts w:asciiTheme="minorHAnsi" w:hAnsiTheme="minorHAnsi" w:cstheme="minorHAnsi"/>
          </w:rPr>
        </w:pPr>
      </w:p>
      <w:p w:rsidR="001E43F5" w:rsidRPr="00B323C2" w:rsidRDefault="00127EBA" w:rsidP="00B323C2">
        <w:pPr>
          <w:pStyle w:val="Fuzeile"/>
          <w:jc w:val="center"/>
          <w:rPr>
            <w:rFonts w:asciiTheme="minorHAnsi" w:hAnsiTheme="minorHAnsi" w:cstheme="minorHAnsi"/>
          </w:rPr>
        </w:pPr>
        <w:r w:rsidRPr="00B323C2">
          <w:rPr>
            <w:rFonts w:asciiTheme="minorHAnsi" w:hAnsiTheme="minorHAnsi" w:cstheme="minorHAnsi"/>
          </w:rPr>
          <w:t xml:space="preserve">Seite </w:t>
        </w:r>
        <w:r w:rsidRPr="00B323C2">
          <w:rPr>
            <w:rFonts w:asciiTheme="minorHAnsi" w:hAnsiTheme="minorHAnsi" w:cstheme="minorHAnsi"/>
          </w:rPr>
          <w:fldChar w:fldCharType="begin"/>
        </w:r>
        <w:r w:rsidRPr="00B323C2">
          <w:rPr>
            <w:rFonts w:asciiTheme="minorHAnsi" w:hAnsiTheme="minorHAnsi" w:cstheme="minorHAnsi"/>
          </w:rPr>
          <w:instrText>PAGE   \* MERGEFORMAT</w:instrText>
        </w:r>
        <w:r w:rsidRPr="00B323C2">
          <w:rPr>
            <w:rFonts w:asciiTheme="minorHAnsi" w:hAnsiTheme="minorHAnsi" w:cstheme="minorHAnsi"/>
          </w:rPr>
          <w:fldChar w:fldCharType="separate"/>
        </w:r>
        <w:r w:rsidR="00567139">
          <w:rPr>
            <w:rFonts w:asciiTheme="minorHAnsi" w:hAnsiTheme="minorHAnsi" w:cstheme="minorHAnsi"/>
            <w:noProof/>
          </w:rPr>
          <w:t>2</w:t>
        </w:r>
        <w:r w:rsidRPr="00B323C2">
          <w:rPr>
            <w:rFonts w:asciiTheme="minorHAnsi" w:hAnsiTheme="minorHAnsi" w:cstheme="minorHAnsi"/>
          </w:rPr>
          <w:fldChar w:fldCharType="end"/>
        </w:r>
      </w:p>
    </w:sdtContent>
  </w:sdt>
  <w:p w:rsidR="001E43F5" w:rsidRPr="00B323C2" w:rsidRDefault="00673C89"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39" w:rsidRDefault="00567139" w:rsidP="00B323C2">
      <w:pPr>
        <w:spacing w:after="0" w:line="240" w:lineRule="auto"/>
      </w:pPr>
      <w:r>
        <w:separator/>
      </w:r>
    </w:p>
  </w:footnote>
  <w:footnote w:type="continuationSeparator" w:id="0">
    <w:p w:rsidR="00567139" w:rsidRDefault="00567139" w:rsidP="00B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55" w:rsidRDefault="00673C89">
    <w:pPr>
      <w:pStyle w:val="Kopfzeile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43954" o:spid="_x0000_s205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20_10_Wordblank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55" w:rsidRDefault="00673C89">
    <w:pPr>
      <w:pStyle w:val="Kopfzeile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43953" o:spid="_x0000_s2054" type="#_x0000_t75" style="position:absolute;margin-left:-73.8pt;margin-top:-98.7pt;width:595.2pt;height:841.9pt;z-index:-251658240;mso-position-horizontal-relative:margin;mso-position-vertical-relative:margin" o:allowincell="f">
          <v:imagedata r:id="rId1" o:title="2020_10_Wordblank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822"/>
    <w:multiLevelType w:val="hybridMultilevel"/>
    <w:tmpl w:val="444A1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7C22"/>
    <w:multiLevelType w:val="hybridMultilevel"/>
    <w:tmpl w:val="CF186F0A"/>
    <w:lvl w:ilvl="0" w:tplc="E4FE9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EDA"/>
    <w:multiLevelType w:val="hybridMultilevel"/>
    <w:tmpl w:val="E1D2BC00"/>
    <w:lvl w:ilvl="0" w:tplc="E4FE9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7E1"/>
    <w:multiLevelType w:val="hybridMultilevel"/>
    <w:tmpl w:val="BDD08C12"/>
    <w:lvl w:ilvl="0" w:tplc="E4FE9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1992"/>
    <w:multiLevelType w:val="hybridMultilevel"/>
    <w:tmpl w:val="58484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24F1E"/>
    <w:multiLevelType w:val="hybridMultilevel"/>
    <w:tmpl w:val="FBF8E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C25BC"/>
    <w:multiLevelType w:val="hybridMultilevel"/>
    <w:tmpl w:val="A1C6C118"/>
    <w:lvl w:ilvl="0" w:tplc="E4FE9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1516"/>
    <w:multiLevelType w:val="hybridMultilevel"/>
    <w:tmpl w:val="A1141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63E2"/>
    <w:multiLevelType w:val="hybridMultilevel"/>
    <w:tmpl w:val="2DA0C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D20A0"/>
    <w:multiLevelType w:val="hybridMultilevel"/>
    <w:tmpl w:val="C13CB3FA"/>
    <w:lvl w:ilvl="0" w:tplc="E4FE9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310CF"/>
    <w:multiLevelType w:val="hybridMultilevel"/>
    <w:tmpl w:val="D91C846C"/>
    <w:lvl w:ilvl="0" w:tplc="528051C2">
      <w:start w:val="1"/>
      <w:numFmt w:val="bullet"/>
      <w:pStyle w:val="Listenabsatz"/>
      <w:lvlText w:val="‒"/>
      <w:lvlJc w:val="left"/>
      <w:pPr>
        <w:ind w:left="1440" w:hanging="360"/>
      </w:pPr>
      <w:rPr>
        <w:rFonts w:ascii="Noto Sans" w:hAnsi="Noto San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O+TLVs4VLajmf3dJnvzJ3xZMaKkdsVrvHZNnFEFKNmn4NBoKO9Xfv/yYnKqWFq8k7n/jGlOHHyqQQ9EYGyRJA==" w:salt="c/Tit/PHTgEuL05Ucc7gk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39"/>
    <w:rsid w:val="00127EBA"/>
    <w:rsid w:val="0028637A"/>
    <w:rsid w:val="003B72EE"/>
    <w:rsid w:val="0041707F"/>
    <w:rsid w:val="004239C8"/>
    <w:rsid w:val="00501ECA"/>
    <w:rsid w:val="00512094"/>
    <w:rsid w:val="00567139"/>
    <w:rsid w:val="00673C89"/>
    <w:rsid w:val="006D624A"/>
    <w:rsid w:val="00721488"/>
    <w:rsid w:val="00787689"/>
    <w:rsid w:val="00957557"/>
    <w:rsid w:val="00B323C2"/>
    <w:rsid w:val="00B640E2"/>
    <w:rsid w:val="00B83C36"/>
    <w:rsid w:val="00BE1143"/>
    <w:rsid w:val="00C36381"/>
    <w:rsid w:val="00C7180D"/>
    <w:rsid w:val="00D2046C"/>
    <w:rsid w:val="00D33900"/>
    <w:rsid w:val="00ED6C7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9084A8EF-D798-490C-A71C-C34FB596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C7180D"/>
  </w:style>
  <w:style w:type="paragraph" w:styleId="berschrift1">
    <w:name w:val="heading 1"/>
    <w:aliases w:val="18pt Überschrift 1"/>
    <w:basedOn w:val="Standard"/>
    <w:next w:val="Standard"/>
    <w:link w:val="berschrift1Zchn"/>
    <w:uiPriority w:val="9"/>
    <w:qFormat/>
    <w:rsid w:val="00D3390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aliases w:val="14pt Überschrift"/>
    <w:basedOn w:val="Standard"/>
    <w:next w:val="Standard"/>
    <w:link w:val="berschrift2Zchn"/>
    <w:uiPriority w:val="9"/>
    <w:unhideWhenUsed/>
    <w:qFormat/>
    <w:rsid w:val="00721488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10pt Überschrift"/>
    <w:basedOn w:val="Standard"/>
    <w:next w:val="Standard"/>
    <w:link w:val="berschrift3Zchn"/>
    <w:uiPriority w:val="9"/>
    <w:unhideWhenUsed/>
    <w:qFormat/>
    <w:rsid w:val="00D3390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8pt Überschrift 1 Zchn"/>
    <w:basedOn w:val="Absatz-Standardschriftart"/>
    <w:link w:val="berschrift1"/>
    <w:uiPriority w:val="9"/>
    <w:rsid w:val="00D33900"/>
    <w:rPr>
      <w:rFonts w:eastAsiaTheme="majorEastAsia" w:cstheme="majorBidi"/>
      <w:b/>
      <w:sz w:val="36"/>
      <w:szCs w:val="32"/>
    </w:rPr>
  </w:style>
  <w:style w:type="character" w:customStyle="1" w:styleId="berschrift2Zchn">
    <w:name w:val="Überschrift 2 Zchn"/>
    <w:aliases w:val="14pt Überschrift Zchn"/>
    <w:basedOn w:val="Absatz-Standardschriftart"/>
    <w:link w:val="berschrift2"/>
    <w:uiPriority w:val="9"/>
    <w:rsid w:val="00721488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aliases w:val="10pt Überschrift Zchn"/>
    <w:basedOn w:val="Absatz-Standardschriftart"/>
    <w:link w:val="berschrift3"/>
    <w:uiPriority w:val="9"/>
    <w:rsid w:val="00D33900"/>
    <w:rPr>
      <w:rFonts w:eastAsiaTheme="majorEastAsia" w:cstheme="majorBidi"/>
      <w:b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7180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180D"/>
    <w:rPr>
      <w:rFonts w:eastAsiaTheme="majorEastAsia" w:cstheme="majorBidi"/>
      <w:b/>
      <w:spacing w:val="-10"/>
      <w:kern w:val="28"/>
      <w:sz w:val="56"/>
      <w:szCs w:val="56"/>
    </w:rPr>
  </w:style>
  <w:style w:type="character" w:styleId="SchwacheHervorhebung">
    <w:name w:val="Subtle Emphasis"/>
    <w:aliases w:val="kursiv"/>
    <w:basedOn w:val="Absatz-Standardschriftart"/>
    <w:uiPriority w:val="19"/>
    <w:qFormat/>
    <w:rsid w:val="00C7180D"/>
    <w:rPr>
      <w:rFonts w:ascii="Noto Sans" w:hAnsi="Noto Sans"/>
      <w:i/>
      <w:iCs/>
      <w:color w:val="000000" w:themeColor="text1"/>
      <w:sz w:val="20"/>
    </w:rPr>
  </w:style>
  <w:style w:type="character" w:styleId="IntensiveHervorhebung">
    <w:name w:val="Intense Emphasis"/>
    <w:aliases w:val="kursiv und fett"/>
    <w:basedOn w:val="Absatz-Standardschriftart"/>
    <w:uiPriority w:val="21"/>
    <w:qFormat/>
    <w:rsid w:val="00C7180D"/>
    <w:rPr>
      <w:rFonts w:ascii="Noto Sans" w:hAnsi="Noto Sans"/>
      <w:b/>
      <w:i/>
      <w:iCs/>
      <w:color w:val="auto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7180D"/>
    <w:pPr>
      <w:spacing w:before="200"/>
      <w:ind w:left="864" w:right="864"/>
    </w:pPr>
    <w:rPr>
      <w:i/>
      <w:iCs/>
      <w:color w:val="75787B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C7180D"/>
    <w:rPr>
      <w:i/>
      <w:iCs/>
      <w:color w:val="75787B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180D"/>
    <w:pPr>
      <w:spacing w:before="360" w:after="360"/>
      <w:ind w:left="864" w:right="864"/>
    </w:pPr>
    <w:rPr>
      <w:b/>
      <w:i/>
      <w:iCs/>
      <w:color w:val="75787B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180D"/>
    <w:rPr>
      <w:b/>
      <w:i/>
      <w:iCs/>
      <w:color w:val="75787B" w:themeColor="text2"/>
    </w:rPr>
  </w:style>
  <w:style w:type="character" w:styleId="Hervorhebung">
    <w:name w:val="Emphasis"/>
    <w:aliases w:val="fett"/>
    <w:basedOn w:val="Absatz-Standardschriftart"/>
    <w:uiPriority w:val="20"/>
    <w:qFormat/>
    <w:rsid w:val="00C7180D"/>
    <w:rPr>
      <w:rFonts w:ascii="Noto Sans" w:hAnsi="Noto Sans"/>
      <w:b/>
      <w:i/>
      <w:iCs/>
      <w:sz w:val="20"/>
    </w:rPr>
  </w:style>
  <w:style w:type="character" w:styleId="SchwacherVerweis">
    <w:name w:val="Subtle Reference"/>
    <w:basedOn w:val="Absatz-Standardschriftart"/>
    <w:uiPriority w:val="31"/>
    <w:qFormat/>
    <w:rsid w:val="00C7180D"/>
    <w:rPr>
      <w:rFonts w:ascii="Noto Sans" w:hAnsi="Noto Sans"/>
      <w:caps w:val="0"/>
      <w:smallCaps w:val="0"/>
      <w:color w:val="75787B" w:themeColor="text2"/>
      <w:kern w:val="0"/>
      <w:sz w:val="2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7180D"/>
    <w:rPr>
      <w:rFonts w:ascii="Noto Sans" w:hAnsi="Noto Sans"/>
      <w:b w:val="0"/>
      <w:bCs/>
      <w:caps w:val="0"/>
      <w:smallCaps w:val="0"/>
      <w:color w:val="auto"/>
      <w:spacing w:val="5"/>
      <w:sz w:val="20"/>
      <w:u w:val="single"/>
    </w:rPr>
  </w:style>
  <w:style w:type="paragraph" w:styleId="Untertitel">
    <w:name w:val="Subtitle"/>
    <w:aliases w:val="28pt Light"/>
    <w:basedOn w:val="Standard"/>
    <w:next w:val="Standard"/>
    <w:link w:val="UntertitelZchn"/>
    <w:uiPriority w:val="11"/>
    <w:qFormat/>
    <w:rsid w:val="00C7180D"/>
    <w:pPr>
      <w:numPr>
        <w:ilvl w:val="1"/>
      </w:numPr>
    </w:pPr>
    <w:rPr>
      <w:rFonts w:eastAsiaTheme="minorEastAsia"/>
      <w:spacing w:val="5"/>
      <w:sz w:val="56"/>
    </w:rPr>
  </w:style>
  <w:style w:type="character" w:customStyle="1" w:styleId="UntertitelZchn">
    <w:name w:val="Untertitel Zchn"/>
    <w:aliases w:val="28pt Light Zchn"/>
    <w:basedOn w:val="Absatz-Standardschriftart"/>
    <w:link w:val="Untertitel"/>
    <w:uiPriority w:val="11"/>
    <w:rsid w:val="00C7180D"/>
    <w:rPr>
      <w:rFonts w:eastAsiaTheme="minorEastAsia"/>
      <w:spacing w:val="5"/>
      <w:sz w:val="56"/>
    </w:rPr>
  </w:style>
  <w:style w:type="character" w:styleId="Buchtitel">
    <w:name w:val="Book Title"/>
    <w:basedOn w:val="Absatz-Standardschriftart"/>
    <w:uiPriority w:val="33"/>
    <w:qFormat/>
    <w:rsid w:val="00C7180D"/>
    <w:rPr>
      <w:rFonts w:ascii="Noto Sans" w:hAnsi="Noto Sans"/>
      <w:b/>
      <w:bCs/>
      <w:i/>
      <w:iCs/>
      <w:color w:val="auto"/>
      <w:spacing w:val="5"/>
      <w:sz w:val="20"/>
    </w:rPr>
  </w:style>
  <w:style w:type="paragraph" w:styleId="Listenabsatz">
    <w:name w:val="List Paragraph"/>
    <w:basedOn w:val="Standard"/>
    <w:uiPriority w:val="34"/>
    <w:qFormat/>
    <w:rsid w:val="00C7180D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23C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B323C2"/>
    <w:rPr>
      <w:rFonts w:ascii="Arial" w:hAnsi="Arial"/>
      <w:bCs/>
    </w:rPr>
  </w:style>
  <w:style w:type="paragraph" w:styleId="Fuzeile">
    <w:name w:val="footer"/>
    <w:basedOn w:val="Standard"/>
    <w:link w:val="FuzeileZchn"/>
    <w:uiPriority w:val="99"/>
    <w:unhideWhenUsed/>
    <w:rsid w:val="00B323C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B323C2"/>
    <w:rPr>
      <w:rFonts w:ascii="Arial" w:hAnsi="Arial"/>
      <w:bCs/>
    </w:rPr>
  </w:style>
  <w:style w:type="paragraph" w:customStyle="1" w:styleId="EinfAbs">
    <w:name w:val="[Einf. Abs.]"/>
    <w:basedOn w:val="Standard"/>
    <w:uiPriority w:val="99"/>
    <w:rsid w:val="00B323C2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bCs/>
      <w:color w:val="000000"/>
      <w:sz w:val="24"/>
      <w:szCs w:val="24"/>
    </w:rPr>
  </w:style>
  <w:style w:type="paragraph" w:styleId="KeinLeerraum">
    <w:name w:val="No Spacing"/>
    <w:uiPriority w:val="1"/>
    <w:qFormat/>
    <w:rsid w:val="00B32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zeB\Downloads\01_Standard.dotx" TargetMode="External"/></Relationships>
</file>

<file path=word/theme/theme1.xml><?xml version="1.0" encoding="utf-8"?>
<a:theme xmlns:a="http://schemas.openxmlformats.org/drawingml/2006/main" name="Office">
  <a:themeElements>
    <a:clrScheme name="Stadt Heidelberg">
      <a:dk1>
        <a:sysClr val="windowText" lastClr="000000"/>
      </a:dk1>
      <a:lt1>
        <a:sysClr val="window" lastClr="FFFFFF"/>
      </a:lt1>
      <a:dk2>
        <a:srgbClr val="75787B"/>
      </a:dk2>
      <a:lt2>
        <a:srgbClr val="C8C9C7"/>
      </a:lt2>
      <a:accent1>
        <a:srgbClr val="A50050"/>
      </a:accent1>
      <a:accent2>
        <a:srgbClr val="236192"/>
      </a:accent2>
      <a:accent3>
        <a:srgbClr val="71B2C9"/>
      </a:accent3>
      <a:accent4>
        <a:srgbClr val="E87722"/>
      </a:accent4>
      <a:accent5>
        <a:srgbClr val="FFC845"/>
      </a:accent5>
      <a:accent6>
        <a:srgbClr val="B7BF10"/>
      </a:accent6>
      <a:hlink>
        <a:srgbClr val="000000"/>
      </a:hlink>
      <a:folHlink>
        <a:srgbClr val="000000"/>
      </a:folHlink>
    </a:clrScheme>
    <a:fontScheme name="Stadt Heidelberg">
      <a:majorFont>
        <a:latin typeface="Noto Sans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2F38241E7B944B25A2029B61588D9" ma:contentTypeVersion="2" ma:contentTypeDescription="Ein neues Dokument erstellen." ma:contentTypeScope="" ma:versionID="88f39147e46874dab42175ffd60d1fb4">
  <xsd:schema xmlns:xsd="http://www.w3.org/2001/XMLSchema" xmlns:xs="http://www.w3.org/2001/XMLSchema" xmlns:p="http://schemas.microsoft.com/office/2006/metadata/properties" xmlns:ns2="4e58cf07-1cf5-4fbb-a9c1-9ddfb25c576e" targetNamespace="http://schemas.microsoft.com/office/2006/metadata/properties" ma:root="true" ma:fieldsID="fddb2166481b67e84ac45d5d960c4921" ns2:_="">
    <xsd:import namespace="4e58cf07-1cf5-4fbb-a9c1-9ddfb25c57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8cf07-1cf5-4fbb-a9c1-9ddfb25c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5F20C-8240-44C4-AA97-9BAD02162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BF797-102D-4B77-82D0-98A9F0C6082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4e58cf07-1cf5-4fbb-a9c1-9ddfb25c576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FF7984-E724-45FC-A905-907AE94BA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8cf07-1cf5-4fbb-a9c1-9ddfb25c5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01_Standard.dotx</Template>
  <TotalTime>0</TotalTime>
  <Pages>1</Pages>
  <Words>259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Birgit</dc:creator>
  <cp:keywords/>
  <dc:description/>
  <cp:lastModifiedBy>Schulze, Birgit</cp:lastModifiedBy>
  <cp:revision>3</cp:revision>
  <dcterms:created xsi:type="dcterms:W3CDTF">2022-11-23T08:48:00Z</dcterms:created>
  <dcterms:modified xsi:type="dcterms:W3CDTF">2022-11-23T08:56:00Z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0x010100A812F38241E7B944B25A2029B61588D9</vt:lpwstr>
  </property>
</Properties>
</file>